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YSpec="bottom"/>
        <w:tblW w:w="3000" w:type="pct"/>
        <w:tblLook w:val="04A0"/>
      </w:tblPr>
      <w:tblGrid>
        <w:gridCol w:w="5640"/>
      </w:tblGrid>
      <w:tr w:rsidR="003F6F40" w:rsidTr="003F6F40">
        <w:tc>
          <w:tcPr>
            <w:tcW w:w="5640" w:type="dxa"/>
          </w:tcPr>
          <w:p w:rsidR="003F6F40" w:rsidRPr="003F6F40" w:rsidRDefault="0005342B" w:rsidP="003F6F40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 xml:space="preserve">Reshaping The Board’s Expectations In Evaluating Opportunities When Executing Overseas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Invesments</w:t>
            </w:r>
            <w:proofErr w:type="spellEnd"/>
          </w:p>
        </w:tc>
      </w:tr>
      <w:tr w:rsidR="00A5263F" w:rsidTr="003F6F40">
        <w:tc>
          <w:tcPr>
            <w:tcW w:w="5640" w:type="dxa"/>
          </w:tcPr>
          <w:p w:rsidR="00A5263F" w:rsidRPr="003F6F40" w:rsidRDefault="00A5263F">
            <w:pPr>
              <w:pStyle w:val="NoSpacing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F61407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24</w:t>
            </w:r>
            <w:r w:rsidRPr="00F61407">
              <w:rPr>
                <w:rFonts w:asciiTheme="minorHAnsi" w:eastAsiaTheme="minorEastAsia" w:hAnsiTheme="minorHAnsi" w:cstheme="minorBidi"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November </w:t>
            </w:r>
            <w:r w:rsidR="003F6F40" w:rsidRPr="003F6F40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2015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F7475B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 w:rsidRPr="00F7475B">
              <w:rPr>
                <w:rFonts w:asciiTheme="minorHAnsi" w:eastAsiaTheme="minorEastAsia" w:hAnsiTheme="minorHAnsi" w:cstheme="minorBidi"/>
              </w:rPr>
              <w:t>Overseas investments are key imperative for companies to duplicate its business models to expand on its revenue growth opportunities. This course outlines the crucial challenges in foreign investments and provides a guide on how to mitigate its risk impact moving forward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:rsidR="003F6F40" w:rsidRDefault="00050EF2">
      <w:r w:rsidRPr="00050EF2">
        <w:rPr>
          <w:noProof/>
          <w:lang w:eastAsia="zh-TW"/>
        </w:rPr>
        <w:pict>
          <v:group id="_x0000_s1027" style="position:absolute;margin-left:2021.5pt;margin-top:0;width:264.55pt;height:690.65pt;z-index:1;mso-position-horizontal:right;mso-position-horizontal-relative:page;mso-position-vertical:bottom;mso-position-vertical-relative:page" coordorigin="5531,1258" coordsize="5291,1381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519;top:1258;width:4303;height:10040;flip:x" o:connectortype="straight" strokecolor="#a7bfde"/>
            <v:group id="_x0000_s1029" style="position:absolute;left:5531;top:9226;width:5291;height:5845" coordorigin="5531,9226" coordsize="5291,5845">
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  <v:path arrowok="t"/>
              </v:shape>
              <v:oval id="_x0000_s1031" style="position:absolute;left:6117;top:10212;width:4526;height:4258;rotation:41366637fd;flip:y" fillcolor="#d3dfee" stroked="f" strokecolor="#a7bfde"/>
              <v:oval id="_x0000_s1032" style="position:absolute;left:6217;top:10481;width:3424;height:3221;rotation:41366637fd;flip:y" fillcolor="#7ba0cd" stroked="f" strokecolor="#a7bfde"/>
            </v:group>
            <w10:wrap anchorx="page" anchory="page"/>
          </v:group>
        </w:pict>
      </w:r>
      <w:r w:rsidRPr="00050EF2">
        <w:rPr>
          <w:noProof/>
          <w:lang w:eastAsia="zh-TW"/>
        </w:rPr>
        <w:pict>
          <v:group id="_x0000_s1038" style="position:absolute;margin-left:0;margin-top:0;width:464.8pt;height:380.95pt;z-index:3;mso-position-horizontal:left;mso-position-horizontal-relative:page;mso-position-vertical:top;mso-position-vertical-relative:page" coordorigin="15,15" coordsize="9296,7619" o:allowincell="f">
            <v:shape id="_x0000_s1039" type="#_x0000_t32" style="position:absolute;left:15;top:15;width:7512;height:7386" o:connectortype="straight" strokecolor="#a7bfde"/>
            <v:group id="_x0000_s1040" style="position:absolute;left:7095;top:5418;width:2216;height:2216" coordorigin="7907,4350" coordsize="2216,2216">
              <v:oval id="_x0000_s1041" style="position:absolute;left:7907;top:4350;width:2216;height:2216" fillcolor="#a7bfde" stroked="f"/>
              <v:oval id="_x0000_s1042" style="position:absolute;left:7961;top:4684;width:1813;height:1813" fillcolor="#d3dfee" stroked="f"/>
              <v:oval id="_x0000_s1043" style="position:absolute;left:8006;top:5027;width:1375;height:1375" fillcolor="#7ba0cd" stroked="f"/>
            </v:group>
            <w10:wrap anchorx="page" anchory="page"/>
          </v:group>
        </w:pict>
      </w:r>
      <w:r w:rsidRPr="00050EF2">
        <w:rPr>
          <w:noProof/>
          <w:lang w:eastAsia="zh-TW"/>
        </w:rPr>
        <w:pict>
          <v:group id="_x0000_s1033" style="position:absolute;margin-left:3061.8pt;margin-top:0;width:332.7pt;height:227.25pt;z-index:2;mso-position-horizontal:right;mso-position-horizontal-relative:margin;mso-position-vertical:top;mso-position-vertical-relative:page" coordorigin="4136,15" coordsize="6654,4545" o:allowincell="f">
            <v:shape id="_x0000_s1034" type="#_x0000_t32" style="position:absolute;left:4136;top:15;width:3058;height:3855" o:connectortype="straight" strokecolor="#a7bfde"/>
            <v:oval id="_x0000_s1035" style="position:absolute;left:6674;top:444;width:4116;height:4116" fillcolor="#a7bfde" stroked="f"/>
            <v:oval id="_x0000_s1036" style="position:absolute;left:6773;top:1058;width:3367;height:3367" fillcolor="#d3dfee" stroked="f"/>
            <v:oval id="_x0000_s1037" style="position:absolute;left:6856;top:1709;width:2553;height:2553" fillcolor="#7ba0cd" stroked="f"/>
            <w10:wrap anchorx="margin" anchory="page"/>
          </v:group>
        </w:pict>
      </w:r>
    </w:p>
    <w:p w:rsidR="00B26841" w:rsidRPr="00B26841" w:rsidRDefault="00050EF2" w:rsidP="003F6F40">
      <w:pPr>
        <w:rPr>
          <w:rFonts w:asciiTheme="minorHAnsi" w:hAnsiTheme="minorHAnsi"/>
        </w:rPr>
        <w:sectPr w:rsidR="00B26841" w:rsidRPr="00B26841" w:rsidSect="008C6E6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06" w:right="922" w:bottom="900" w:left="1800" w:header="0" w:footer="0" w:gutter="0"/>
          <w:cols w:sep="1" w:space="720"/>
          <w:titlePg/>
          <w:docGrid w:linePitch="299"/>
        </w:sectPr>
      </w:pPr>
      <w:r w:rsidRPr="00050EF2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78.65pt;margin-top:72.35pt;width:110pt;height:49.4pt;z-index:4;mso-height-percent:200;mso-height-percent:200;mso-width-relative:margin;mso-height-relative:margin" stroked="f">
            <v:textbox style="mso-fit-shape-to-text:t">
              <w:txbxContent>
                <w:p w:rsidR="003F6F40" w:rsidRPr="004B250B" w:rsidRDefault="003F6F40">
                  <w:pPr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</w:pPr>
                  <w:proofErr w:type="spellStart"/>
                  <w:r w:rsidRPr="004B250B"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  <w:t>Bursatra</w:t>
                  </w:r>
                  <w:proofErr w:type="spellEnd"/>
                </w:p>
              </w:txbxContent>
            </v:textbox>
          </v:shape>
        </w:pict>
      </w:r>
      <w:r w:rsidRPr="00050EF2">
        <w:rPr>
          <w:noProof/>
        </w:rPr>
        <w:pict>
          <v:shape id="_x0000_s1045" type="#_x0000_t75" style="position:absolute;margin-left:-20.35pt;margin-top:13.8pt;width:112.5pt;height:90pt;z-index:-8">
            <v:imagedata r:id="rId14" o:title="logo-3d"/>
          </v:shape>
        </w:pict>
      </w:r>
      <w:r w:rsidR="003F6F40">
        <w:br w:type="page"/>
      </w:r>
      <w:r>
        <w:rPr>
          <w:rFonts w:asciiTheme="minorHAnsi" w:hAnsiTheme="minorHAnsi"/>
          <w:noProof/>
          <w:lang w:val="en-US"/>
        </w:rPr>
        <w:lastRenderedPageBreak/>
        <w:pict>
          <v:roundrect id="_x0000_s1046" style="position:absolute;margin-left:-6.8pt;margin-top:7.4pt;width:150.55pt;height:23.4pt;z-index:-7" arcsize="10923f">
            <v:shadow on="t" offset="3pt" offset2="2pt"/>
          </v:roundrect>
        </w:pict>
      </w:r>
      <w:r>
        <w:rPr>
          <w:rFonts w:asciiTheme="minorHAnsi" w:hAnsiTheme="minorHAnsi"/>
          <w:noProof/>
          <w:lang w:val="en-US"/>
        </w:rPr>
        <w:pict>
          <v:roundrect id="_x0000_s1048" style="position:absolute;margin-left:239.4pt;margin-top:7.4pt;width:150.55pt;height:23.4pt;z-index:-5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lastRenderedPageBreak/>
        <w:t>COURSE INTRODUCTION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F7475B" w:rsidP="003F6F40">
      <w:pPr>
        <w:rPr>
          <w:rFonts w:asciiTheme="minorHAnsi" w:hAnsiTheme="minorHAnsi"/>
        </w:rPr>
      </w:pPr>
      <w:r w:rsidRPr="00F7475B">
        <w:rPr>
          <w:rFonts w:asciiTheme="minorHAnsi" w:hAnsiTheme="minorHAnsi"/>
        </w:rPr>
        <w:t>Overseas investments are key imperative for companies to duplicate its business models to expand on its revenue growth opportunities. This course outlines the crucial challenges in foreign investments and provides a guide on how to mitigate its risk impact moving forward</w:t>
      </w:r>
      <w:r w:rsidR="003F6F40" w:rsidRPr="00B26841">
        <w:rPr>
          <w:rFonts w:asciiTheme="minorHAnsi" w:hAnsiTheme="minorHAnsi"/>
        </w:rPr>
        <w:t>.</w:t>
      </w:r>
    </w:p>
    <w:p w:rsidR="003F6F40" w:rsidRPr="00B26841" w:rsidRDefault="00050EF2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7" style="position:absolute;margin-left:-6.8pt;margin-top:7.65pt;width:150.55pt;height:23.4pt;z-index:-6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 COURSE OBJECTIVES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F7475B" w:rsidP="003F6F40">
      <w:pPr>
        <w:rPr>
          <w:rFonts w:asciiTheme="minorHAnsi" w:hAnsiTheme="minorHAnsi"/>
        </w:rPr>
      </w:pPr>
      <w:r w:rsidRPr="00F7475B">
        <w:rPr>
          <w:rFonts w:asciiTheme="minorHAnsi" w:hAnsiTheme="minorHAnsi"/>
        </w:rPr>
        <w:t>Provides practical insights and hands-on experience of Malaysian companies past lessons in overseas ventures.</w:t>
      </w:r>
    </w:p>
    <w:p w:rsidR="003F6F40" w:rsidRPr="00B26841" w:rsidRDefault="00050EF2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9" style="position:absolute;margin-left:-6.8pt;margin-top:8.7pt;width:150.55pt;height:23.4pt;z-index:-4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COURSE COVERAGE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F7475B" w:rsidRPr="00F7475B" w:rsidRDefault="00F7475B" w:rsidP="00F7475B">
      <w:pPr>
        <w:numPr>
          <w:ilvl w:val="0"/>
          <w:numId w:val="44"/>
        </w:numPr>
        <w:ind w:left="426" w:hanging="426"/>
        <w:rPr>
          <w:rFonts w:asciiTheme="minorHAnsi" w:hAnsiTheme="minorHAnsi"/>
        </w:rPr>
      </w:pPr>
      <w:r w:rsidRPr="00F7475B">
        <w:rPr>
          <w:rFonts w:asciiTheme="minorHAnsi" w:hAnsiTheme="minorHAnsi"/>
        </w:rPr>
        <w:t>Examining The Potential Country’s Risks &amp; Economic Factors</w:t>
      </w:r>
    </w:p>
    <w:p w:rsidR="00F7475B" w:rsidRPr="00F7475B" w:rsidRDefault="00F7475B" w:rsidP="00F7475B">
      <w:pPr>
        <w:numPr>
          <w:ilvl w:val="0"/>
          <w:numId w:val="44"/>
        </w:numPr>
        <w:ind w:left="426" w:hanging="426"/>
        <w:rPr>
          <w:rFonts w:asciiTheme="minorHAnsi" w:hAnsiTheme="minorHAnsi"/>
        </w:rPr>
      </w:pPr>
      <w:r w:rsidRPr="00F7475B">
        <w:rPr>
          <w:rFonts w:asciiTheme="minorHAnsi" w:hAnsiTheme="minorHAnsi"/>
        </w:rPr>
        <w:t>Exploring Investment Structure &amp; Its Merits</w:t>
      </w:r>
    </w:p>
    <w:p w:rsidR="00F7475B" w:rsidRPr="00F7475B" w:rsidRDefault="00F7475B" w:rsidP="00F7475B">
      <w:pPr>
        <w:numPr>
          <w:ilvl w:val="0"/>
          <w:numId w:val="44"/>
        </w:numPr>
        <w:ind w:left="426" w:hanging="426"/>
        <w:rPr>
          <w:rFonts w:asciiTheme="minorHAnsi" w:hAnsiTheme="minorHAnsi"/>
        </w:rPr>
      </w:pPr>
      <w:r w:rsidRPr="00F7475B">
        <w:rPr>
          <w:rFonts w:asciiTheme="minorHAnsi" w:hAnsiTheme="minorHAnsi"/>
        </w:rPr>
        <w:t>Sourcing Local Funding Opportunities &amp; Funds Repatriation Restrictions</w:t>
      </w:r>
    </w:p>
    <w:p w:rsidR="00F7475B" w:rsidRPr="00F7475B" w:rsidRDefault="00F7475B" w:rsidP="00F7475B">
      <w:pPr>
        <w:numPr>
          <w:ilvl w:val="0"/>
          <w:numId w:val="44"/>
        </w:numPr>
        <w:ind w:left="426" w:hanging="426"/>
        <w:rPr>
          <w:rFonts w:asciiTheme="minorHAnsi" w:hAnsiTheme="minorHAnsi"/>
        </w:rPr>
      </w:pPr>
      <w:r w:rsidRPr="00F7475B">
        <w:rPr>
          <w:rFonts w:asciiTheme="minorHAnsi" w:hAnsiTheme="minorHAnsi"/>
        </w:rPr>
        <w:t>Determining The Exit Strategy Options</w:t>
      </w:r>
    </w:p>
    <w:p w:rsidR="003F6F40" w:rsidRPr="00B26841" w:rsidRDefault="00F7475B" w:rsidP="00F7475B">
      <w:pPr>
        <w:numPr>
          <w:ilvl w:val="0"/>
          <w:numId w:val="44"/>
        </w:numPr>
        <w:ind w:left="426" w:hanging="426"/>
        <w:rPr>
          <w:rFonts w:asciiTheme="minorHAnsi" w:hAnsiTheme="minorHAnsi"/>
        </w:rPr>
      </w:pPr>
      <w:r w:rsidRPr="00F7475B">
        <w:rPr>
          <w:rFonts w:asciiTheme="minorHAnsi" w:hAnsiTheme="minorHAnsi"/>
        </w:rPr>
        <w:t>Case Studies</w:t>
      </w:r>
    </w:p>
    <w:p w:rsidR="00D90843" w:rsidRPr="00B26841" w:rsidRDefault="00D90843" w:rsidP="003F6F40">
      <w:pPr>
        <w:rPr>
          <w:rFonts w:asciiTheme="minorHAnsi" w:hAnsiTheme="minorHAnsi"/>
        </w:rPr>
      </w:pPr>
    </w:p>
    <w:p w:rsidR="00B26841" w:rsidRDefault="00B26841" w:rsidP="003F6F40">
      <w:pPr>
        <w:rPr>
          <w:rFonts w:asciiTheme="minorHAnsi" w:hAnsiTheme="minorHAnsi"/>
        </w:rPr>
      </w:pP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lastRenderedPageBreak/>
        <w:t>WHO SHOULD ATTEND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Directors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Financial Controllers &amp; Finance Managers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Accountants &amp; Auditors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Secretaries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Academicians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>Fund &amp; Investment Managers</w:t>
      </w:r>
    </w:p>
    <w:p w:rsidR="003F6F40" w:rsidRPr="00B26841" w:rsidRDefault="00050EF2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0" style="position:absolute;margin-left:-8.2pt;margin-top:8.2pt;width:150.55pt;height:23.4pt;z-index:-3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COURSE METHODOLOGY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B26841" w:rsidRDefault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Lectures facilitated by PowerPoint presentat</w:t>
      </w:r>
      <w:r w:rsidR="00B26841">
        <w:rPr>
          <w:rFonts w:asciiTheme="minorHAnsi" w:hAnsiTheme="minorHAnsi"/>
        </w:rPr>
        <w:t>ion and case studies discussion</w:t>
      </w:r>
    </w:p>
    <w:p w:rsidR="00B26841" w:rsidRDefault="00050EF2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1" style="position:absolute;margin-left:-8.2pt;margin-top:7.75pt;width:150.55pt;height:23.4pt;z-index:-2" arcsize="10923f">
            <v:shadow on="t" offset="3pt" offset2="2pt"/>
          </v:roundrect>
        </w:pict>
      </w:r>
    </w:p>
    <w:p w:rsidR="00D90843" w:rsidRPr="00B26841" w:rsidRDefault="00D90843" w:rsidP="00D90843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DETAILS</w:t>
      </w:r>
    </w:p>
    <w:p w:rsidR="00B26841" w:rsidRDefault="00B26841">
      <w:pPr>
        <w:rPr>
          <w:rFonts w:asciiTheme="minorHAnsi" w:hAnsiTheme="minorHAnsi"/>
        </w:rPr>
      </w:pPr>
    </w:p>
    <w:tbl>
      <w:tblPr>
        <w:tblW w:w="4933" w:type="dxa"/>
        <w:shd w:val="clear" w:color="auto" w:fill="B8CCE4" w:themeFill="accent1" w:themeFillTint="66"/>
        <w:tblLayout w:type="fixed"/>
        <w:tblLook w:val="04A0"/>
      </w:tblPr>
      <w:tblGrid>
        <w:gridCol w:w="1668"/>
        <w:gridCol w:w="283"/>
        <w:gridCol w:w="2982"/>
      </w:tblGrid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DATE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F61407" w:rsidP="00F7475B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24</w:t>
            </w:r>
            <w:r w:rsidRPr="00F61407">
              <w:rPr>
                <w:rFonts w:asciiTheme="minorHAnsi" w:hAnsiTheme="minorHAnsi" w:cs="Segoe UI Semibold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="Segoe UI Semibold"/>
                <w:sz w:val="20"/>
              </w:rPr>
              <w:t xml:space="preserve"> November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 xml:space="preserve"> 2015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DURATION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0D57B6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Half-day(0900 – 13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>00</w:t>
            </w:r>
            <w:r>
              <w:rPr>
                <w:rFonts w:asciiTheme="minorHAnsi" w:hAnsiTheme="minorHAnsi" w:cs="Segoe UI Semibold"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VENUE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To be advised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FEE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F61407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RM</w:t>
            </w:r>
            <w:r w:rsidR="00F61407">
              <w:rPr>
                <w:rFonts w:asciiTheme="minorHAnsi" w:hAnsiTheme="minorHAnsi" w:cs="Segoe UI Semibold"/>
                <w:sz w:val="20"/>
              </w:rPr>
              <w:t>932.8</w:t>
            </w:r>
            <w:r w:rsidRPr="00D90843">
              <w:rPr>
                <w:rFonts w:asciiTheme="minorHAnsi" w:hAnsiTheme="minorHAnsi" w:cs="Segoe UI Semibold"/>
                <w:sz w:val="20"/>
              </w:rPr>
              <w:t xml:space="preserve">0 per participant 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(</w:t>
            </w:r>
            <w:r w:rsidR="00F61407" w:rsidRPr="00F61407">
              <w:rPr>
                <w:rFonts w:asciiTheme="minorHAnsi" w:hAnsiTheme="minorHAnsi" w:cs="Segoe UI Semibold"/>
                <w:bCs/>
                <w:sz w:val="20"/>
              </w:rPr>
              <w:t>Fee is inclusive of  6% GST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PAYMENT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 xml:space="preserve">Cheque is to be made payable to </w:t>
            </w:r>
            <w:r w:rsidRPr="00D90843">
              <w:rPr>
                <w:rFonts w:asciiTheme="minorHAnsi" w:hAnsiTheme="minorHAnsi" w:cs="Segoe UI Semibold"/>
                <w:bCs/>
                <w:color w:val="FF0000"/>
                <w:sz w:val="20"/>
                <w:u w:val="single"/>
              </w:rPr>
              <w:t>BURSATRA SDN. BHD</w:t>
            </w:r>
            <w:r w:rsidRPr="00D90843">
              <w:rPr>
                <w:rFonts w:asciiTheme="minorHAnsi" w:hAnsiTheme="minorHAnsi" w:cs="Segoe UI Semibold"/>
                <w:color w:val="FF0000"/>
                <w:sz w:val="20"/>
              </w:rPr>
              <w:t>.</w:t>
            </w:r>
          </w:p>
        </w:tc>
      </w:tr>
    </w:tbl>
    <w:p w:rsidR="00B26841" w:rsidRDefault="00050EF2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8" type="#_x0000_t176" style="position:absolute;margin-left:74.15pt;margin-top:12.3pt;width:1in;height:55.85pt;z-index:8;mso-position-horizontal-relative:text;mso-position-vertical-relative:text" fillcolor="black" strokecolor="#f2f2f2" strokeweight="3pt">
            <v:shadow on="t" type="perspective" color="#7f7f7f" opacity=".5" offset="1pt" offset2="-1pt"/>
            <v:textbox>
              <w:txbxContent>
                <w:p w:rsidR="00A5263F" w:rsidRPr="00B37990" w:rsidRDefault="00A5263F" w:rsidP="00A5263F">
                  <w:pPr>
                    <w:jc w:val="center"/>
                    <w:rPr>
                      <w:b/>
                      <w:color w:val="FFFFFF"/>
                      <w:sz w:val="10"/>
                      <w:szCs w:val="10"/>
                    </w:rPr>
                  </w:pPr>
                </w:p>
                <w:p w:rsidR="00A5263F" w:rsidRPr="00B37990" w:rsidRDefault="00A5263F" w:rsidP="00A5263F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</w:rPr>
                  </w:pPr>
                  <w:r w:rsidRPr="00B37990">
                    <w:rPr>
                      <w:rFonts w:ascii="Century Gothic" w:hAnsi="Century Gothic"/>
                      <w:b/>
                      <w:color w:val="FFFFFF"/>
                    </w:rPr>
                    <w:t xml:space="preserve">4 CEP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HOURS</w:t>
                  </w:r>
                </w:p>
              </w:txbxContent>
            </v:textbox>
          </v:shape>
        </w:pict>
      </w:r>
    </w:p>
    <w:p w:rsidR="00B26841" w:rsidRDefault="00B26841">
      <w:pPr>
        <w:rPr>
          <w:rFonts w:asciiTheme="minorHAnsi" w:hAnsiTheme="minorHAnsi"/>
        </w:rPr>
      </w:pPr>
    </w:p>
    <w:p w:rsidR="00B26841" w:rsidRDefault="00B26841">
      <w:pPr>
        <w:rPr>
          <w:rFonts w:asciiTheme="minorHAnsi" w:hAnsiTheme="minorHAnsi"/>
        </w:rPr>
      </w:pPr>
    </w:p>
    <w:p w:rsidR="00B26841" w:rsidRPr="00B26841" w:rsidRDefault="00B26841">
      <w:pPr>
        <w:rPr>
          <w:rFonts w:asciiTheme="minorHAnsi" w:hAnsiTheme="minorHAnsi"/>
        </w:rPr>
        <w:sectPr w:rsidR="00B26841" w:rsidRPr="00B26841" w:rsidSect="00B26841">
          <w:type w:val="continuous"/>
          <w:pgSz w:w="11906" w:h="16838" w:code="9"/>
          <w:pgMar w:top="806" w:right="922" w:bottom="900" w:left="1800" w:header="0" w:footer="0" w:gutter="0"/>
          <w:cols w:num="2" w:sep="1" w:space="720"/>
          <w:titlePg/>
          <w:docGrid w:linePitch="299"/>
        </w:sectPr>
      </w:pPr>
    </w:p>
    <w:p w:rsidR="003F6F40" w:rsidRDefault="003F6F40"/>
    <w:p w:rsidR="003F6F40" w:rsidRDefault="00050EF2">
      <w:r w:rsidRPr="00050EF2">
        <w:rPr>
          <w:rFonts w:asciiTheme="minorHAnsi" w:hAnsiTheme="minorHAnsi"/>
          <w:noProof/>
          <w:lang w:val="en-US"/>
        </w:rPr>
        <w:pict>
          <v:roundrect id="_x0000_s1052" style="position:absolute;margin-left:-6.8pt;margin-top:6.3pt;width:150.55pt;height:23.4pt;z-index:-1" arcsize="10923f">
            <v:shadow on="t" offset="3pt" offset2="2pt"/>
          </v:roundrect>
        </w:pict>
      </w:r>
    </w:p>
    <w:p w:rsidR="00D90843" w:rsidRDefault="00D90843" w:rsidP="00D90843">
      <w:pPr>
        <w:rPr>
          <w:rFonts w:asciiTheme="minorHAnsi" w:hAnsiTheme="minorHAnsi"/>
        </w:rPr>
        <w:sectPr w:rsidR="00D90843" w:rsidSect="00B26841">
          <w:type w:val="continuous"/>
          <w:pgSz w:w="11906" w:h="16838" w:code="9"/>
          <w:pgMar w:top="806" w:right="922" w:bottom="900" w:left="1800" w:header="0" w:footer="0" w:gutter="0"/>
          <w:cols w:space="720"/>
          <w:titlePg/>
          <w:docGrid w:linePitch="299"/>
        </w:sect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lastRenderedPageBreak/>
        <w:t>PRESENTER’S PROFILE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MR. BOEY TAK KONG CA (M), FCCA, ACIS, MIMM, MMIM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proofErr w:type="spellStart"/>
      <w:r w:rsidRPr="00D90843">
        <w:rPr>
          <w:rFonts w:asciiTheme="minorHAnsi" w:hAnsiTheme="minorHAnsi"/>
        </w:rPr>
        <w:t>Boey</w:t>
      </w:r>
      <w:proofErr w:type="spellEnd"/>
      <w:r w:rsidRPr="00D90843">
        <w:rPr>
          <w:rFonts w:asciiTheme="minorHAnsi" w:hAnsiTheme="minorHAnsi"/>
        </w:rPr>
        <w:t xml:space="preserve"> is the Managing Director of </w:t>
      </w:r>
      <w:proofErr w:type="spellStart"/>
      <w:r w:rsidRPr="00D90843">
        <w:rPr>
          <w:rFonts w:asciiTheme="minorHAnsi" w:hAnsiTheme="minorHAnsi"/>
        </w:rPr>
        <w:t>Terus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Mesra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Sdn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Bhd</w:t>
      </w:r>
      <w:proofErr w:type="spellEnd"/>
      <w:r w:rsidRPr="00D90843">
        <w:rPr>
          <w:rFonts w:asciiTheme="minorHAnsi" w:hAnsiTheme="minorHAnsi"/>
        </w:rPr>
        <w:t xml:space="preserve">, governance and leadership </w:t>
      </w:r>
      <w:proofErr w:type="gramStart"/>
      <w:r w:rsidRPr="00D90843">
        <w:rPr>
          <w:rFonts w:asciiTheme="minorHAnsi" w:hAnsiTheme="minorHAnsi"/>
        </w:rPr>
        <w:t>development company</w:t>
      </w:r>
      <w:proofErr w:type="gramEnd"/>
      <w:r w:rsidRPr="00D90843">
        <w:rPr>
          <w:rFonts w:asciiTheme="minorHAnsi" w:hAnsiTheme="minorHAnsi"/>
        </w:rPr>
        <w:t xml:space="preserve"> and a certified trainer accredited by HRDF. He has over 23 years of broad-based senior financial management, internal audit and overseas business development experience with 6 major public listed groups with listing in Malaysia, United Kingdom, Singapore, Australia and New Zealand. 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 xml:space="preserve">Presently, he is a Director of </w:t>
      </w:r>
      <w:proofErr w:type="spellStart"/>
      <w:r w:rsidRPr="00D90843">
        <w:rPr>
          <w:rFonts w:asciiTheme="minorHAnsi" w:hAnsiTheme="minorHAnsi"/>
        </w:rPr>
        <w:t>Censof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Dutch Lady Milk Industries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Gadang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Green Packet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 and Ho </w:t>
      </w:r>
      <w:proofErr w:type="spellStart"/>
      <w:r w:rsidRPr="00D90843">
        <w:rPr>
          <w:rFonts w:asciiTheme="minorHAnsi" w:hAnsiTheme="minorHAnsi"/>
        </w:rPr>
        <w:t>Hup</w:t>
      </w:r>
      <w:proofErr w:type="spellEnd"/>
      <w:r w:rsidRPr="00D90843">
        <w:rPr>
          <w:rFonts w:asciiTheme="minorHAnsi" w:hAnsiTheme="minorHAnsi"/>
        </w:rPr>
        <w:t xml:space="preserve"> Construction Company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all listed on Main Market of Bursa Malaysia Securities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. 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lastRenderedPageBreak/>
        <w:t xml:space="preserve">He had also served as a Director with IJM Land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Omesti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Sanbumi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 and </w:t>
      </w:r>
      <w:proofErr w:type="spellStart"/>
      <w:r w:rsidRPr="00D90843">
        <w:rPr>
          <w:rFonts w:asciiTheme="minorHAnsi" w:hAnsiTheme="minorHAnsi"/>
        </w:rPr>
        <w:t>Permaju</w:t>
      </w:r>
      <w:proofErr w:type="spellEnd"/>
      <w:r w:rsidRPr="00D90843">
        <w:rPr>
          <w:rFonts w:asciiTheme="minorHAnsi" w:hAnsiTheme="minorHAnsi"/>
        </w:rPr>
        <w:t xml:space="preserve"> Industries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Over the last 17 years, he was involved with the following professional bodies in conducting seminars, conferences and training programmes for:-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Malaysian Institute Of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Association of Chartered Certified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Chartered Institute of Management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Institute Of Internal Auditors Malaysia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Malaysian Institute Of Certified Public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Malaysian Institute Of Chartered Secretaries &amp; Administrators</w:t>
      </w:r>
    </w:p>
    <w:p w:rsidR="003F6F40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•</w:t>
      </w:r>
      <w:r w:rsidRPr="00D90843">
        <w:rPr>
          <w:rFonts w:asciiTheme="minorHAnsi" w:hAnsiTheme="minorHAnsi"/>
        </w:rPr>
        <w:tab/>
        <w:t>Minority Shareholder Watchdog Group</w:t>
      </w:r>
    </w:p>
    <w:p w:rsidR="00D90843" w:rsidRDefault="00D90843">
      <w:pPr>
        <w:sectPr w:rsidR="00D90843" w:rsidSect="00D90843">
          <w:type w:val="continuous"/>
          <w:pgSz w:w="11906" w:h="16838" w:code="9"/>
          <w:pgMar w:top="806" w:right="922" w:bottom="900" w:left="1800" w:header="0" w:footer="0" w:gutter="0"/>
          <w:cols w:num="2" w:space="284"/>
          <w:titlePg/>
          <w:docGrid w:linePitch="299"/>
        </w:sectPr>
      </w:pPr>
    </w:p>
    <w:p w:rsidR="00D90843" w:rsidRDefault="00D90843"/>
    <w:p w:rsidR="00D90843" w:rsidRDefault="00D90843"/>
    <w:p w:rsidR="00D90843" w:rsidRDefault="00D90843">
      <w:r>
        <w:br w:type="page"/>
      </w:r>
    </w:p>
    <w:p w:rsidR="00E76169" w:rsidRPr="004E6547" w:rsidRDefault="004E6547" w:rsidP="004E6547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4E6547">
        <w:rPr>
          <w:rFonts w:asciiTheme="majorHAnsi" w:hAnsiTheme="majorHAnsi"/>
          <w:sz w:val="28"/>
          <w:szCs w:val="28"/>
          <w:u w:val="single"/>
        </w:rPr>
        <w:t>REGISTRATION FORM</w:t>
      </w:r>
    </w:p>
    <w:p w:rsidR="00E76169" w:rsidRDefault="00E76169"/>
    <w:p w:rsidR="004E6547" w:rsidRDefault="004E6547"/>
    <w:p w:rsidR="00E76169" w:rsidRDefault="00F7475B">
      <w:r w:rsidRPr="00F7475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Reshaping </w:t>
      </w:r>
      <w:proofErr w:type="gramStart"/>
      <w:r w:rsidRPr="00F7475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The Board’s Expectations In</w:t>
      </w:r>
      <w:proofErr w:type="gramEnd"/>
      <w:r w:rsidRPr="00F7475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Evaluating Opportunities When Executing Overseas </w:t>
      </w:r>
      <w:proofErr w:type="spellStart"/>
      <w:r w:rsidRPr="00F7475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Invesments</w:t>
      </w:r>
      <w:proofErr w:type="spellEnd"/>
    </w:p>
    <w:p w:rsidR="000D57B6" w:rsidRPr="000D57B6" w:rsidRDefault="000D57B6" w:rsidP="000D57B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Half-day (0900 – 1300)</w:t>
      </w:r>
    </w:p>
    <w:p w:rsidR="004E6547" w:rsidRDefault="004E6547"/>
    <w:p w:rsidR="00E76169" w:rsidRPr="004E6547" w:rsidRDefault="00050EF2">
      <w:pPr>
        <w:rPr>
          <w:rFonts w:asciiTheme="minorHAnsi" w:hAnsiTheme="minorHAnsi"/>
          <w:sz w:val="24"/>
          <w:szCs w:val="24"/>
        </w:rPr>
      </w:pPr>
      <w:r w:rsidRPr="00050EF2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6" type="#_x0000_t55" style="position:absolute;margin-left:-17.8pt;margin-top:-.45pt;width:11.05pt;height:16.85pt;z-index:6" strokecolor="#548dd4"/>
        </w:pict>
      </w:r>
      <w:r w:rsidR="004E6547">
        <w:rPr>
          <w:rFonts w:asciiTheme="minorHAnsi" w:hAnsiTheme="minorHAnsi"/>
          <w:sz w:val="24"/>
          <w:szCs w:val="24"/>
        </w:rPr>
        <w:t>Please tick respective date:</w:t>
      </w:r>
    </w:p>
    <w:p w:rsidR="004E6547" w:rsidRDefault="004E6547"/>
    <w:tbl>
      <w:tblPr>
        <w:tblW w:w="0" w:type="auto"/>
        <w:tblLayout w:type="fixed"/>
        <w:tblLook w:val="04A0"/>
      </w:tblPr>
      <w:tblGrid>
        <w:gridCol w:w="567"/>
        <w:gridCol w:w="2802"/>
        <w:gridCol w:w="425"/>
        <w:gridCol w:w="1604"/>
        <w:gridCol w:w="567"/>
        <w:gridCol w:w="2132"/>
      </w:tblGrid>
      <w:tr w:rsidR="00E76169" w:rsidRPr="00E76169" w:rsidTr="00F61407">
        <w:tc>
          <w:tcPr>
            <w:tcW w:w="567" w:type="dxa"/>
          </w:tcPr>
          <w:p w:rsidR="00E76169" w:rsidRPr="00E76169" w:rsidRDefault="00050EF2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_x0000_s1053" style="position:absolute;margin-left:2.4pt;margin-top:.65pt;width:10.65pt;height:10.05pt;z-index:5;mso-position-vertical-relative:margin">
                  <v:shadow on="t" offset=",3pt" offset2=",2pt"/>
                  <w10:wrap anchory="margin"/>
                </v:rect>
              </w:pict>
            </w:r>
          </w:p>
        </w:tc>
        <w:tc>
          <w:tcPr>
            <w:tcW w:w="2802" w:type="dxa"/>
          </w:tcPr>
          <w:p w:rsidR="00E76169" w:rsidRPr="00E76169" w:rsidRDefault="00F61407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24</w:t>
            </w:r>
            <w:r w:rsidRPr="00F61407">
              <w:rPr>
                <w:rFonts w:asciiTheme="minorHAnsi" w:hAnsiTheme="minorHAnsi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November 2015</w:t>
            </w:r>
          </w:p>
        </w:tc>
        <w:tc>
          <w:tcPr>
            <w:tcW w:w="425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604" w:type="dxa"/>
          </w:tcPr>
          <w:p w:rsidR="00E76169" w:rsidRPr="00E76169" w:rsidRDefault="00E76169" w:rsidP="00F747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27004C" w:rsidRDefault="0027004C" w:rsidP="002D40CE">
      <w:pPr>
        <w:pStyle w:val="Heading2"/>
        <w:jc w:val="left"/>
        <w:rPr>
          <w:sz w:val="16"/>
          <w:szCs w:val="16"/>
        </w:rPr>
      </w:pPr>
    </w:p>
    <w:p w:rsidR="004E6547" w:rsidRDefault="00050EF2" w:rsidP="00E76169">
      <w:pPr>
        <w:rPr>
          <w:rFonts w:asciiTheme="minorHAnsi" w:hAnsiTheme="minorHAnsi"/>
          <w:sz w:val="24"/>
          <w:szCs w:val="24"/>
        </w:rPr>
      </w:pPr>
      <w:r w:rsidRPr="00050EF2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7" type="#_x0000_t55" style="position:absolute;margin-left:-17.8pt;margin-top:12.5pt;width:11.05pt;height:16.85pt;z-index:7" strokecolor="#548dd4"/>
        </w:pict>
      </w:r>
    </w:p>
    <w:p w:rsidR="00E76169" w:rsidRPr="004E6547" w:rsidRDefault="004E6547" w:rsidP="00E76169">
      <w:pPr>
        <w:rPr>
          <w:rFonts w:asciiTheme="minorHAnsi" w:hAnsiTheme="minorHAnsi"/>
          <w:sz w:val="24"/>
          <w:szCs w:val="24"/>
        </w:rPr>
      </w:pPr>
      <w:r w:rsidRPr="004E6547">
        <w:rPr>
          <w:rFonts w:asciiTheme="minorHAnsi" w:hAnsiTheme="minorHAnsi"/>
          <w:sz w:val="24"/>
          <w:szCs w:val="24"/>
        </w:rPr>
        <w:t>Details:</w:t>
      </w:r>
    </w:p>
    <w:p w:rsidR="00E76169" w:rsidRDefault="00E76169" w:rsidP="00E76169"/>
    <w:tbl>
      <w:tblPr>
        <w:tblW w:w="0" w:type="auto"/>
        <w:tblLayout w:type="fixed"/>
        <w:tblLook w:val="04A0"/>
      </w:tblPr>
      <w:tblGrid>
        <w:gridCol w:w="2298"/>
        <w:gridCol w:w="284"/>
        <w:gridCol w:w="6280"/>
      </w:tblGrid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Participant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NRIC / Passport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Address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Contact Person &amp; 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Tel.#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Fax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E76169" w:rsidRDefault="00E76169" w:rsidP="00E76169"/>
    <w:p w:rsidR="00E76169" w:rsidRDefault="00E76169" w:rsidP="00E76169"/>
    <w:p w:rsidR="00E76169" w:rsidRDefault="00E76169" w:rsidP="00E76169"/>
    <w:p w:rsidR="00E76169" w:rsidRDefault="00E76169" w:rsidP="00E76169"/>
    <w:p w:rsidR="00E76169" w:rsidRPr="00E76169" w:rsidRDefault="00050EF2" w:rsidP="00E76169">
      <w:pPr>
        <w:jc w:val="center"/>
        <w:rPr>
          <w:rFonts w:asciiTheme="minorHAnsi" w:hAnsiTheme="minorHAnsi"/>
          <w:sz w:val="24"/>
          <w:szCs w:val="24"/>
        </w:rPr>
      </w:pPr>
      <w:r w:rsidRPr="00050EF2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9" type="#_x0000_t55" style="position:absolute;left:0;text-align:left;margin-left:-17.8pt;margin-top:-.1pt;width:11.05pt;height:16.85pt;z-index:9" strokecolor="#548dd4"/>
        </w:pict>
      </w:r>
      <w:r w:rsidR="00E76169" w:rsidRPr="00E76169">
        <w:rPr>
          <w:rFonts w:asciiTheme="minorHAnsi" w:hAnsiTheme="minorHAnsi"/>
          <w:sz w:val="24"/>
          <w:szCs w:val="24"/>
        </w:rPr>
        <w:t>Postponement / Cancellation within seven (07) working days prior to the event are subject to a cancellation / postponement fee of 20%. Full amount of the registration fee(s) is chargeable for non-attendance of the participant(s). To register, please call 03-7958 8001 / 03-7958 8002 or</w:t>
      </w:r>
    </w:p>
    <w:p w:rsidR="00F61407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fax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Re</w:t>
      </w:r>
      <w:r w:rsidR="00F61407">
        <w:rPr>
          <w:rFonts w:asciiTheme="minorHAnsi" w:hAnsiTheme="minorHAnsi"/>
          <w:sz w:val="24"/>
          <w:szCs w:val="24"/>
        </w:rPr>
        <w:t>gistration Form to: 03–7954 8001</w:t>
      </w:r>
      <w:r w:rsidRPr="00E76169">
        <w:rPr>
          <w:rFonts w:asciiTheme="minorHAnsi" w:hAnsiTheme="minorHAnsi"/>
          <w:sz w:val="24"/>
          <w:szCs w:val="24"/>
        </w:rPr>
        <w:t xml:space="preserve"> or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e-mail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to: mailmarshal@bursatra.com.my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</w:p>
    <w:sectPr w:rsidR="00E76169" w:rsidRPr="00E76169" w:rsidSect="00E76169">
      <w:type w:val="continuous"/>
      <w:pgSz w:w="11906" w:h="16838" w:code="9"/>
      <w:pgMar w:top="806" w:right="922" w:bottom="900" w:left="1800" w:header="0" w:footer="0" w:gutter="0"/>
      <w:pgBorders w:display="notFirstPage" w:offsetFrom="page">
        <w:top w:val="single" w:sz="4" w:space="24" w:color="95B3D7" w:themeColor="accent1" w:themeTint="99"/>
        <w:left w:val="single" w:sz="4" w:space="24" w:color="95B3D7" w:themeColor="accent1" w:themeTint="99"/>
        <w:bottom w:val="single" w:sz="4" w:space="24" w:color="95B3D7" w:themeColor="accent1" w:themeTint="99"/>
        <w:right w:val="single" w:sz="4" w:space="24" w:color="95B3D7" w:themeColor="accent1" w:themeTint="99"/>
      </w:pgBorders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AB" w:rsidRDefault="003F2FAB">
      <w:r>
        <w:separator/>
      </w:r>
    </w:p>
  </w:endnote>
  <w:endnote w:type="continuationSeparator" w:id="0">
    <w:p w:rsidR="003F2FAB" w:rsidRDefault="003F2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E76169">
    <w:pPr>
      <w:pStyle w:val="Footer"/>
      <w:rPr>
        <w:i/>
        <w:color w:val="548DD4" w:themeColor="text2" w:themeTint="99"/>
      </w:rPr>
    </w:pPr>
    <w:r w:rsidRPr="00E76169">
      <w:rPr>
        <w:i/>
        <w:color w:val="548DD4" w:themeColor="text2" w:themeTint="99"/>
      </w:rPr>
      <w:t>Corporate Governance Management and Best Practices</w:t>
    </w:r>
  </w:p>
  <w:p w:rsidR="00E76169" w:rsidRDefault="00E761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E76169" w:rsidP="00E76169">
    <w:pPr>
      <w:pStyle w:val="Footer"/>
      <w:rPr>
        <w:i/>
        <w:color w:val="548DD4" w:themeColor="text2" w:themeTint="99"/>
      </w:rPr>
    </w:pPr>
    <w:r w:rsidRPr="00E76169">
      <w:rPr>
        <w:i/>
        <w:color w:val="548DD4" w:themeColor="text2" w:themeTint="99"/>
      </w:rPr>
      <w:t>Corporate Governance Management and Best Practices</w:t>
    </w:r>
  </w:p>
  <w:p w:rsidR="00E76169" w:rsidRDefault="00E76169">
    <w:pPr>
      <w:pStyle w:val="Footer"/>
    </w:pPr>
  </w:p>
  <w:p w:rsidR="00E76169" w:rsidRDefault="00E76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AB" w:rsidRDefault="003F2FAB">
      <w:r>
        <w:separator/>
      </w:r>
    </w:p>
  </w:footnote>
  <w:footnote w:type="continuationSeparator" w:id="0">
    <w:p w:rsidR="003F2FAB" w:rsidRDefault="003F2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050EF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1" o:spid="_x0000_s2053" type="#_x0000_t75" style="position:absolute;margin-left:0;margin-top:0;width:459.1pt;height:349.35pt;z-index:-2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B1" w:rsidRPr="006C5CB2" w:rsidRDefault="00050EF2" w:rsidP="00C24690">
    <w:pPr>
      <w:pStyle w:val="Heading5"/>
      <w:ind w:left="-810" w:hanging="90"/>
      <w:rPr>
        <w:rFonts w:ascii="Century Gothic" w:hAnsi="Century Gothic"/>
        <w:i w:val="0"/>
        <w:iCs/>
        <w:sz w:val="24"/>
        <w:szCs w:val="24"/>
      </w:rPr>
    </w:pPr>
    <w:r w:rsidRPr="00050EF2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2" o:spid="_x0000_s2054" type="#_x0000_t75" style="position:absolute;left:0;text-align:left;margin-left:0;margin-top:0;width:459.1pt;height:349.35pt;z-index:-1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  <w:r w:rsidR="005404B1">
      <w:tab/>
    </w:r>
  </w:p>
  <w:p w:rsidR="005404B1" w:rsidRPr="006C5CB2" w:rsidRDefault="005404B1" w:rsidP="006C5C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050EF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0" o:spid="_x0000_s2052" type="#_x0000_t75" style="position:absolute;margin-left:0;margin-top:0;width:459.1pt;height:349.35pt;z-index:-3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pt;height:11.2pt" o:bullet="t">
        <v:imagedata r:id="rId1" o:title="mso51"/>
      </v:shape>
    </w:pict>
  </w:numPicBullet>
  <w:abstractNum w:abstractNumId="0">
    <w:nsid w:val="01792E17"/>
    <w:multiLevelType w:val="hybridMultilevel"/>
    <w:tmpl w:val="1B3417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2F59"/>
    <w:multiLevelType w:val="hybridMultilevel"/>
    <w:tmpl w:val="7AF22D0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B3D51"/>
    <w:multiLevelType w:val="hybridMultilevel"/>
    <w:tmpl w:val="001EC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730B0E"/>
    <w:multiLevelType w:val="hybridMultilevel"/>
    <w:tmpl w:val="720CC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839F4"/>
    <w:multiLevelType w:val="hybridMultilevel"/>
    <w:tmpl w:val="F678EB6E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>
    <w:nsid w:val="0D326A15"/>
    <w:multiLevelType w:val="hybridMultilevel"/>
    <w:tmpl w:val="D6B43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16926"/>
    <w:multiLevelType w:val="hybridMultilevel"/>
    <w:tmpl w:val="247290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36AA0"/>
    <w:multiLevelType w:val="hybridMultilevel"/>
    <w:tmpl w:val="9962EA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F3935"/>
    <w:multiLevelType w:val="hybridMultilevel"/>
    <w:tmpl w:val="D2861A60"/>
    <w:lvl w:ilvl="0" w:tplc="8AEABB0E">
      <w:start w:val="1"/>
      <w:numFmt w:val="upperLetter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9">
    <w:nsid w:val="17775851"/>
    <w:multiLevelType w:val="hybridMultilevel"/>
    <w:tmpl w:val="A7CA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879D2"/>
    <w:multiLevelType w:val="hybridMultilevel"/>
    <w:tmpl w:val="C5363556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376B3F"/>
    <w:multiLevelType w:val="hybridMultilevel"/>
    <w:tmpl w:val="3ADA1482"/>
    <w:lvl w:ilvl="0" w:tplc="043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1C2F6153"/>
    <w:multiLevelType w:val="hybridMultilevel"/>
    <w:tmpl w:val="0D7C8A02"/>
    <w:lvl w:ilvl="0" w:tplc="C2527902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3">
    <w:nsid w:val="1DDC3FA0"/>
    <w:multiLevelType w:val="hybridMultilevel"/>
    <w:tmpl w:val="4F36512C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E47D5"/>
    <w:multiLevelType w:val="hybridMultilevel"/>
    <w:tmpl w:val="F7A4E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FC3D00"/>
    <w:multiLevelType w:val="hybridMultilevel"/>
    <w:tmpl w:val="C04A46DA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57156D"/>
    <w:multiLevelType w:val="hybridMultilevel"/>
    <w:tmpl w:val="D4A2C11A"/>
    <w:lvl w:ilvl="0" w:tplc="153853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472EE"/>
    <w:multiLevelType w:val="hybridMultilevel"/>
    <w:tmpl w:val="4E3A6A38"/>
    <w:lvl w:ilvl="0" w:tplc="C2527902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>
    <w:nsid w:val="348228B7"/>
    <w:multiLevelType w:val="hybridMultilevel"/>
    <w:tmpl w:val="3A7E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B45A9"/>
    <w:multiLevelType w:val="hybridMultilevel"/>
    <w:tmpl w:val="6AC2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B356A"/>
    <w:multiLevelType w:val="hybridMultilevel"/>
    <w:tmpl w:val="4536A540"/>
    <w:lvl w:ilvl="0" w:tplc="C2527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617FCA"/>
    <w:multiLevelType w:val="hybridMultilevel"/>
    <w:tmpl w:val="5B74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250D2"/>
    <w:multiLevelType w:val="hybridMultilevel"/>
    <w:tmpl w:val="7FF6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276F8C"/>
    <w:multiLevelType w:val="hybridMultilevel"/>
    <w:tmpl w:val="464404B6"/>
    <w:lvl w:ilvl="0" w:tplc="153853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837C7F"/>
    <w:multiLevelType w:val="hybridMultilevel"/>
    <w:tmpl w:val="D980C4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E4DDB"/>
    <w:multiLevelType w:val="hybridMultilevel"/>
    <w:tmpl w:val="40D4592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C506D"/>
    <w:multiLevelType w:val="hybridMultilevel"/>
    <w:tmpl w:val="7930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16779"/>
    <w:multiLevelType w:val="hybridMultilevel"/>
    <w:tmpl w:val="CAD6FB96"/>
    <w:lvl w:ilvl="0" w:tplc="C252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9F0960"/>
    <w:multiLevelType w:val="hybridMultilevel"/>
    <w:tmpl w:val="B554E82E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622D2D"/>
    <w:multiLevelType w:val="hybridMultilevel"/>
    <w:tmpl w:val="6EF630A6"/>
    <w:lvl w:ilvl="0" w:tplc="4E82386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CF56A12A">
      <w:start w:val="5"/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1F14B3"/>
    <w:multiLevelType w:val="hybridMultilevel"/>
    <w:tmpl w:val="EB0CF176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A717B4"/>
    <w:multiLevelType w:val="hybridMultilevel"/>
    <w:tmpl w:val="F8A437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9134D2E"/>
    <w:multiLevelType w:val="hybridMultilevel"/>
    <w:tmpl w:val="94D41192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684C37"/>
    <w:multiLevelType w:val="hybridMultilevel"/>
    <w:tmpl w:val="3278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623E0"/>
    <w:multiLevelType w:val="hybridMultilevel"/>
    <w:tmpl w:val="7E8C1E28"/>
    <w:lvl w:ilvl="0" w:tplc="C2527902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400574"/>
    <w:multiLevelType w:val="hybridMultilevel"/>
    <w:tmpl w:val="BCCE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5B5403"/>
    <w:multiLevelType w:val="hybridMultilevel"/>
    <w:tmpl w:val="004229A4"/>
    <w:lvl w:ilvl="0" w:tplc="4E8238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23CE3"/>
    <w:multiLevelType w:val="hybridMultilevel"/>
    <w:tmpl w:val="CD8C1B64"/>
    <w:lvl w:ilvl="0" w:tplc="C2527902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8">
    <w:nsid w:val="7289484A"/>
    <w:multiLevelType w:val="hybridMultilevel"/>
    <w:tmpl w:val="C07CD65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554F15"/>
    <w:multiLevelType w:val="hybridMultilevel"/>
    <w:tmpl w:val="499083F6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0">
    <w:nsid w:val="7A071EE6"/>
    <w:multiLevelType w:val="hybridMultilevel"/>
    <w:tmpl w:val="0442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670A2"/>
    <w:multiLevelType w:val="hybridMultilevel"/>
    <w:tmpl w:val="ED54758E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2">
    <w:nsid w:val="7FC166A0"/>
    <w:multiLevelType w:val="hybridMultilevel"/>
    <w:tmpl w:val="4D2612FC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5040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C738AD"/>
    <w:multiLevelType w:val="hybridMultilevel"/>
    <w:tmpl w:val="07745A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34"/>
  </w:num>
  <w:num w:numId="4">
    <w:abstractNumId w:val="13"/>
  </w:num>
  <w:num w:numId="5">
    <w:abstractNumId w:val="8"/>
  </w:num>
  <w:num w:numId="6">
    <w:abstractNumId w:val="3"/>
  </w:num>
  <w:num w:numId="7">
    <w:abstractNumId w:val="22"/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28"/>
  </w:num>
  <w:num w:numId="12">
    <w:abstractNumId w:val="27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"/>
  </w:num>
  <w:num w:numId="16">
    <w:abstractNumId w:val="25"/>
  </w:num>
  <w:num w:numId="17">
    <w:abstractNumId w:val="26"/>
  </w:num>
  <w:num w:numId="18">
    <w:abstractNumId w:val="39"/>
  </w:num>
  <w:num w:numId="19">
    <w:abstractNumId w:val="41"/>
  </w:num>
  <w:num w:numId="20">
    <w:abstractNumId w:val="7"/>
  </w:num>
  <w:num w:numId="21">
    <w:abstractNumId w:val="0"/>
  </w:num>
  <w:num w:numId="22">
    <w:abstractNumId w:val="38"/>
  </w:num>
  <w:num w:numId="23">
    <w:abstractNumId w:val="4"/>
  </w:num>
  <w:num w:numId="24">
    <w:abstractNumId w:val="37"/>
  </w:num>
  <w:num w:numId="25">
    <w:abstractNumId w:val="43"/>
  </w:num>
  <w:num w:numId="26">
    <w:abstractNumId w:val="6"/>
  </w:num>
  <w:num w:numId="27">
    <w:abstractNumId w:val="20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1"/>
  </w:num>
  <w:num w:numId="32">
    <w:abstractNumId w:val="9"/>
  </w:num>
  <w:num w:numId="33">
    <w:abstractNumId w:val="33"/>
  </w:num>
  <w:num w:numId="34">
    <w:abstractNumId w:val="11"/>
  </w:num>
  <w:num w:numId="35">
    <w:abstractNumId w:val="5"/>
  </w:num>
  <w:num w:numId="36">
    <w:abstractNumId w:val="36"/>
  </w:num>
  <w:num w:numId="37">
    <w:abstractNumId w:val="29"/>
  </w:num>
  <w:num w:numId="38">
    <w:abstractNumId w:val="19"/>
  </w:num>
  <w:num w:numId="39">
    <w:abstractNumId w:val="14"/>
  </w:num>
  <w:num w:numId="40">
    <w:abstractNumId w:val="18"/>
  </w:num>
  <w:num w:numId="41">
    <w:abstractNumId w:val="2"/>
  </w:num>
  <w:num w:numId="42">
    <w:abstractNumId w:val="40"/>
  </w:num>
  <w:num w:numId="43">
    <w:abstractNumId w:val="16"/>
  </w:num>
  <w:num w:numId="44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6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04C"/>
    <w:rsid w:val="00027834"/>
    <w:rsid w:val="00030DBF"/>
    <w:rsid w:val="000326D8"/>
    <w:rsid w:val="00050EF2"/>
    <w:rsid w:val="0005161D"/>
    <w:rsid w:val="00052E16"/>
    <w:rsid w:val="0005342B"/>
    <w:rsid w:val="000552B0"/>
    <w:rsid w:val="00062A25"/>
    <w:rsid w:val="0007186D"/>
    <w:rsid w:val="00075DF3"/>
    <w:rsid w:val="00081B8C"/>
    <w:rsid w:val="00082CA1"/>
    <w:rsid w:val="00093A93"/>
    <w:rsid w:val="000C4D0F"/>
    <w:rsid w:val="000D35F4"/>
    <w:rsid w:val="000D57B6"/>
    <w:rsid w:val="000D5EF0"/>
    <w:rsid w:val="000D6092"/>
    <w:rsid w:val="000D7E9F"/>
    <w:rsid w:val="000E00EA"/>
    <w:rsid w:val="000E1528"/>
    <w:rsid w:val="000E7423"/>
    <w:rsid w:val="000F18B0"/>
    <w:rsid w:val="000F1D91"/>
    <w:rsid w:val="000F7359"/>
    <w:rsid w:val="001012CF"/>
    <w:rsid w:val="00101374"/>
    <w:rsid w:val="00104CCA"/>
    <w:rsid w:val="00104DC9"/>
    <w:rsid w:val="00116013"/>
    <w:rsid w:val="00120F5D"/>
    <w:rsid w:val="001215E3"/>
    <w:rsid w:val="00133138"/>
    <w:rsid w:val="0013504A"/>
    <w:rsid w:val="00136C30"/>
    <w:rsid w:val="00137940"/>
    <w:rsid w:val="00141FD8"/>
    <w:rsid w:val="001425E0"/>
    <w:rsid w:val="001477AC"/>
    <w:rsid w:val="00154BFB"/>
    <w:rsid w:val="00166D1E"/>
    <w:rsid w:val="00173979"/>
    <w:rsid w:val="001836DC"/>
    <w:rsid w:val="00190E5B"/>
    <w:rsid w:val="00191FD2"/>
    <w:rsid w:val="00195DEF"/>
    <w:rsid w:val="001A0977"/>
    <w:rsid w:val="001A51E4"/>
    <w:rsid w:val="001B0969"/>
    <w:rsid w:val="001B1580"/>
    <w:rsid w:val="001B270D"/>
    <w:rsid w:val="001B32E6"/>
    <w:rsid w:val="001B5FBC"/>
    <w:rsid w:val="001C4AE0"/>
    <w:rsid w:val="001C76A8"/>
    <w:rsid w:val="001D0408"/>
    <w:rsid w:val="001D16B0"/>
    <w:rsid w:val="001D318D"/>
    <w:rsid w:val="001D7F7C"/>
    <w:rsid w:val="001E5017"/>
    <w:rsid w:val="001F1B32"/>
    <w:rsid w:val="00203871"/>
    <w:rsid w:val="00204BB5"/>
    <w:rsid w:val="002056C2"/>
    <w:rsid w:val="00214F22"/>
    <w:rsid w:val="00216333"/>
    <w:rsid w:val="0022291C"/>
    <w:rsid w:val="0024105E"/>
    <w:rsid w:val="002473F6"/>
    <w:rsid w:val="002513A9"/>
    <w:rsid w:val="00254A86"/>
    <w:rsid w:val="00257F18"/>
    <w:rsid w:val="002615DC"/>
    <w:rsid w:val="00261F6C"/>
    <w:rsid w:val="00263515"/>
    <w:rsid w:val="0027004C"/>
    <w:rsid w:val="00271DB0"/>
    <w:rsid w:val="00273912"/>
    <w:rsid w:val="002847B9"/>
    <w:rsid w:val="002922F8"/>
    <w:rsid w:val="00292CBC"/>
    <w:rsid w:val="00294201"/>
    <w:rsid w:val="00294AB9"/>
    <w:rsid w:val="002960C2"/>
    <w:rsid w:val="002963BA"/>
    <w:rsid w:val="00296D32"/>
    <w:rsid w:val="002A2C29"/>
    <w:rsid w:val="002B2C67"/>
    <w:rsid w:val="002C286F"/>
    <w:rsid w:val="002D152D"/>
    <w:rsid w:val="002D40CE"/>
    <w:rsid w:val="002D76A9"/>
    <w:rsid w:val="002E6DF0"/>
    <w:rsid w:val="002E6DF1"/>
    <w:rsid w:val="002F32AA"/>
    <w:rsid w:val="002F629E"/>
    <w:rsid w:val="002F679A"/>
    <w:rsid w:val="003300F6"/>
    <w:rsid w:val="003324DF"/>
    <w:rsid w:val="00336392"/>
    <w:rsid w:val="0034120C"/>
    <w:rsid w:val="00350723"/>
    <w:rsid w:val="0035263B"/>
    <w:rsid w:val="00365E83"/>
    <w:rsid w:val="003670C1"/>
    <w:rsid w:val="003673E3"/>
    <w:rsid w:val="003712FB"/>
    <w:rsid w:val="003739F2"/>
    <w:rsid w:val="00383D4B"/>
    <w:rsid w:val="00387974"/>
    <w:rsid w:val="00387DD8"/>
    <w:rsid w:val="003930BC"/>
    <w:rsid w:val="00394B45"/>
    <w:rsid w:val="00396CCE"/>
    <w:rsid w:val="003A2DB5"/>
    <w:rsid w:val="003A7382"/>
    <w:rsid w:val="003B0F4B"/>
    <w:rsid w:val="003B3940"/>
    <w:rsid w:val="003B49DF"/>
    <w:rsid w:val="003C4202"/>
    <w:rsid w:val="003E086B"/>
    <w:rsid w:val="003E2AB7"/>
    <w:rsid w:val="003F2FAB"/>
    <w:rsid w:val="003F3712"/>
    <w:rsid w:val="003F41F3"/>
    <w:rsid w:val="003F681A"/>
    <w:rsid w:val="003F6F40"/>
    <w:rsid w:val="003F7192"/>
    <w:rsid w:val="004032DA"/>
    <w:rsid w:val="00410606"/>
    <w:rsid w:val="00410B3A"/>
    <w:rsid w:val="00414805"/>
    <w:rsid w:val="00443702"/>
    <w:rsid w:val="0044426B"/>
    <w:rsid w:val="004458E8"/>
    <w:rsid w:val="00445F40"/>
    <w:rsid w:val="004531DD"/>
    <w:rsid w:val="0045628D"/>
    <w:rsid w:val="004646C8"/>
    <w:rsid w:val="00480037"/>
    <w:rsid w:val="00480CCF"/>
    <w:rsid w:val="00481A04"/>
    <w:rsid w:val="00483525"/>
    <w:rsid w:val="004927E5"/>
    <w:rsid w:val="00494F68"/>
    <w:rsid w:val="00495E8E"/>
    <w:rsid w:val="004A3CE9"/>
    <w:rsid w:val="004B0856"/>
    <w:rsid w:val="004B1463"/>
    <w:rsid w:val="004B250B"/>
    <w:rsid w:val="004B332B"/>
    <w:rsid w:val="004D135F"/>
    <w:rsid w:val="004D5038"/>
    <w:rsid w:val="004E0773"/>
    <w:rsid w:val="004E6547"/>
    <w:rsid w:val="004E68AD"/>
    <w:rsid w:val="004E71E2"/>
    <w:rsid w:val="004F0317"/>
    <w:rsid w:val="00502E5F"/>
    <w:rsid w:val="0051007A"/>
    <w:rsid w:val="005335E3"/>
    <w:rsid w:val="005404B1"/>
    <w:rsid w:val="00541103"/>
    <w:rsid w:val="005451F7"/>
    <w:rsid w:val="005632EC"/>
    <w:rsid w:val="00567340"/>
    <w:rsid w:val="005711E9"/>
    <w:rsid w:val="005746AE"/>
    <w:rsid w:val="00577284"/>
    <w:rsid w:val="0058399C"/>
    <w:rsid w:val="00591A8D"/>
    <w:rsid w:val="005A141B"/>
    <w:rsid w:val="005A54CD"/>
    <w:rsid w:val="005B4547"/>
    <w:rsid w:val="005C0E7A"/>
    <w:rsid w:val="005C4764"/>
    <w:rsid w:val="005C48F4"/>
    <w:rsid w:val="005C5500"/>
    <w:rsid w:val="005C586A"/>
    <w:rsid w:val="005C5AE7"/>
    <w:rsid w:val="005D08A3"/>
    <w:rsid w:val="005D2163"/>
    <w:rsid w:val="005D5314"/>
    <w:rsid w:val="005F08AF"/>
    <w:rsid w:val="005F558A"/>
    <w:rsid w:val="00600FF7"/>
    <w:rsid w:val="006046A5"/>
    <w:rsid w:val="0060789A"/>
    <w:rsid w:val="00615775"/>
    <w:rsid w:val="006238E6"/>
    <w:rsid w:val="006265D7"/>
    <w:rsid w:val="00626ECB"/>
    <w:rsid w:val="00626F3F"/>
    <w:rsid w:val="00631163"/>
    <w:rsid w:val="00634316"/>
    <w:rsid w:val="00634AFA"/>
    <w:rsid w:val="00641D28"/>
    <w:rsid w:val="00642964"/>
    <w:rsid w:val="006435A7"/>
    <w:rsid w:val="00646440"/>
    <w:rsid w:val="00646582"/>
    <w:rsid w:val="006504C0"/>
    <w:rsid w:val="00660E13"/>
    <w:rsid w:val="00662851"/>
    <w:rsid w:val="0066434D"/>
    <w:rsid w:val="00670C30"/>
    <w:rsid w:val="0067124E"/>
    <w:rsid w:val="00671D35"/>
    <w:rsid w:val="00672847"/>
    <w:rsid w:val="00675E1C"/>
    <w:rsid w:val="0067733A"/>
    <w:rsid w:val="00687724"/>
    <w:rsid w:val="00692BA4"/>
    <w:rsid w:val="0069358A"/>
    <w:rsid w:val="00693D58"/>
    <w:rsid w:val="006A1CE8"/>
    <w:rsid w:val="006A299A"/>
    <w:rsid w:val="006B11CB"/>
    <w:rsid w:val="006C21AD"/>
    <w:rsid w:val="006C3FD2"/>
    <w:rsid w:val="006C5CB2"/>
    <w:rsid w:val="006D77A2"/>
    <w:rsid w:val="006E2F0B"/>
    <w:rsid w:val="006F5FAE"/>
    <w:rsid w:val="0070458F"/>
    <w:rsid w:val="007063EE"/>
    <w:rsid w:val="00706FF6"/>
    <w:rsid w:val="007137FB"/>
    <w:rsid w:val="007158D1"/>
    <w:rsid w:val="00722C3F"/>
    <w:rsid w:val="0074177E"/>
    <w:rsid w:val="00742723"/>
    <w:rsid w:val="007466BC"/>
    <w:rsid w:val="00782EDD"/>
    <w:rsid w:val="00784BD4"/>
    <w:rsid w:val="0079258D"/>
    <w:rsid w:val="007A38E3"/>
    <w:rsid w:val="007A60B4"/>
    <w:rsid w:val="007B4216"/>
    <w:rsid w:val="007C300D"/>
    <w:rsid w:val="007D230C"/>
    <w:rsid w:val="007D4BE4"/>
    <w:rsid w:val="007D5284"/>
    <w:rsid w:val="007E12DD"/>
    <w:rsid w:val="007E7961"/>
    <w:rsid w:val="007F0032"/>
    <w:rsid w:val="007F3A4E"/>
    <w:rsid w:val="007F3B5C"/>
    <w:rsid w:val="007F4878"/>
    <w:rsid w:val="007F4C9F"/>
    <w:rsid w:val="007F7B3F"/>
    <w:rsid w:val="00804D0E"/>
    <w:rsid w:val="00815491"/>
    <w:rsid w:val="0082324A"/>
    <w:rsid w:val="008245A3"/>
    <w:rsid w:val="008302DC"/>
    <w:rsid w:val="008334F3"/>
    <w:rsid w:val="0083372F"/>
    <w:rsid w:val="00857F0B"/>
    <w:rsid w:val="008625D4"/>
    <w:rsid w:val="0087164E"/>
    <w:rsid w:val="00873998"/>
    <w:rsid w:val="00882E02"/>
    <w:rsid w:val="00885384"/>
    <w:rsid w:val="00886436"/>
    <w:rsid w:val="00893FF6"/>
    <w:rsid w:val="008A36B4"/>
    <w:rsid w:val="008A7D0C"/>
    <w:rsid w:val="008B4D1B"/>
    <w:rsid w:val="008C68AB"/>
    <w:rsid w:val="008C6E67"/>
    <w:rsid w:val="008D59F1"/>
    <w:rsid w:val="008D7012"/>
    <w:rsid w:val="008E37B0"/>
    <w:rsid w:val="008E3F3A"/>
    <w:rsid w:val="008E7A32"/>
    <w:rsid w:val="008E7FAA"/>
    <w:rsid w:val="008F2072"/>
    <w:rsid w:val="008F6F19"/>
    <w:rsid w:val="00900A42"/>
    <w:rsid w:val="009069EE"/>
    <w:rsid w:val="00911B27"/>
    <w:rsid w:val="00920EFB"/>
    <w:rsid w:val="0092566D"/>
    <w:rsid w:val="0093318C"/>
    <w:rsid w:val="00941FC5"/>
    <w:rsid w:val="00942F12"/>
    <w:rsid w:val="009449AE"/>
    <w:rsid w:val="00945885"/>
    <w:rsid w:val="00950305"/>
    <w:rsid w:val="00960FF4"/>
    <w:rsid w:val="00962CD4"/>
    <w:rsid w:val="00966197"/>
    <w:rsid w:val="009812C8"/>
    <w:rsid w:val="009815BA"/>
    <w:rsid w:val="00987CCB"/>
    <w:rsid w:val="009A581A"/>
    <w:rsid w:val="009A7D2F"/>
    <w:rsid w:val="009A7DE5"/>
    <w:rsid w:val="009B1017"/>
    <w:rsid w:val="009C6541"/>
    <w:rsid w:val="009C6919"/>
    <w:rsid w:val="009D03F3"/>
    <w:rsid w:val="009D510E"/>
    <w:rsid w:val="009D5C3B"/>
    <w:rsid w:val="009E77BF"/>
    <w:rsid w:val="00A00F25"/>
    <w:rsid w:val="00A01F70"/>
    <w:rsid w:val="00A06B10"/>
    <w:rsid w:val="00A13919"/>
    <w:rsid w:val="00A2356C"/>
    <w:rsid w:val="00A26477"/>
    <w:rsid w:val="00A5263F"/>
    <w:rsid w:val="00A612A4"/>
    <w:rsid w:val="00A63428"/>
    <w:rsid w:val="00A63981"/>
    <w:rsid w:val="00A72AB9"/>
    <w:rsid w:val="00A80B58"/>
    <w:rsid w:val="00A875B6"/>
    <w:rsid w:val="00A900AF"/>
    <w:rsid w:val="00A91344"/>
    <w:rsid w:val="00A96EDC"/>
    <w:rsid w:val="00AB2E66"/>
    <w:rsid w:val="00AC523C"/>
    <w:rsid w:val="00AD7636"/>
    <w:rsid w:val="00AE16FE"/>
    <w:rsid w:val="00AE3449"/>
    <w:rsid w:val="00AF24EB"/>
    <w:rsid w:val="00B0380D"/>
    <w:rsid w:val="00B04AC7"/>
    <w:rsid w:val="00B10286"/>
    <w:rsid w:val="00B1346F"/>
    <w:rsid w:val="00B1435F"/>
    <w:rsid w:val="00B14653"/>
    <w:rsid w:val="00B16A82"/>
    <w:rsid w:val="00B2339C"/>
    <w:rsid w:val="00B266B7"/>
    <w:rsid w:val="00B26841"/>
    <w:rsid w:val="00B318E2"/>
    <w:rsid w:val="00B3486C"/>
    <w:rsid w:val="00B43804"/>
    <w:rsid w:val="00B4435B"/>
    <w:rsid w:val="00B45D60"/>
    <w:rsid w:val="00B53DAF"/>
    <w:rsid w:val="00B62990"/>
    <w:rsid w:val="00B66D36"/>
    <w:rsid w:val="00B82548"/>
    <w:rsid w:val="00B923DB"/>
    <w:rsid w:val="00B954D2"/>
    <w:rsid w:val="00BA45A9"/>
    <w:rsid w:val="00BB12F9"/>
    <w:rsid w:val="00BB4BE2"/>
    <w:rsid w:val="00BB7731"/>
    <w:rsid w:val="00BC0823"/>
    <w:rsid w:val="00BC2DCA"/>
    <w:rsid w:val="00BD365B"/>
    <w:rsid w:val="00BD6B2C"/>
    <w:rsid w:val="00BF185D"/>
    <w:rsid w:val="00C11F7E"/>
    <w:rsid w:val="00C17A24"/>
    <w:rsid w:val="00C21784"/>
    <w:rsid w:val="00C2467C"/>
    <w:rsid w:val="00C24690"/>
    <w:rsid w:val="00C249F4"/>
    <w:rsid w:val="00C25BBF"/>
    <w:rsid w:val="00C25C00"/>
    <w:rsid w:val="00C32EC9"/>
    <w:rsid w:val="00C37DBE"/>
    <w:rsid w:val="00C412E1"/>
    <w:rsid w:val="00C42BFC"/>
    <w:rsid w:val="00C42E06"/>
    <w:rsid w:val="00C44A1E"/>
    <w:rsid w:val="00C50C81"/>
    <w:rsid w:val="00C51007"/>
    <w:rsid w:val="00C51FB9"/>
    <w:rsid w:val="00C604C4"/>
    <w:rsid w:val="00C608A5"/>
    <w:rsid w:val="00C60F4F"/>
    <w:rsid w:val="00C6214C"/>
    <w:rsid w:val="00C73918"/>
    <w:rsid w:val="00C904A8"/>
    <w:rsid w:val="00C90C7B"/>
    <w:rsid w:val="00C90DB0"/>
    <w:rsid w:val="00C96045"/>
    <w:rsid w:val="00C96FED"/>
    <w:rsid w:val="00C9707D"/>
    <w:rsid w:val="00CA0EAF"/>
    <w:rsid w:val="00CA132B"/>
    <w:rsid w:val="00CA34DB"/>
    <w:rsid w:val="00CA770C"/>
    <w:rsid w:val="00CB0A20"/>
    <w:rsid w:val="00CB7793"/>
    <w:rsid w:val="00CC2757"/>
    <w:rsid w:val="00CC474A"/>
    <w:rsid w:val="00CD5BFD"/>
    <w:rsid w:val="00CD7721"/>
    <w:rsid w:val="00CE1B47"/>
    <w:rsid w:val="00CE3596"/>
    <w:rsid w:val="00CE387C"/>
    <w:rsid w:val="00CE55B8"/>
    <w:rsid w:val="00CF1225"/>
    <w:rsid w:val="00CF4841"/>
    <w:rsid w:val="00CF66D4"/>
    <w:rsid w:val="00CF77E7"/>
    <w:rsid w:val="00D047FC"/>
    <w:rsid w:val="00D078B6"/>
    <w:rsid w:val="00D12851"/>
    <w:rsid w:val="00D14DD8"/>
    <w:rsid w:val="00D2799C"/>
    <w:rsid w:val="00D34E2C"/>
    <w:rsid w:val="00D36AC3"/>
    <w:rsid w:val="00D40D8D"/>
    <w:rsid w:val="00D55B69"/>
    <w:rsid w:val="00D56F3F"/>
    <w:rsid w:val="00D571E5"/>
    <w:rsid w:val="00D67CB4"/>
    <w:rsid w:val="00D70262"/>
    <w:rsid w:val="00D72D6F"/>
    <w:rsid w:val="00D83D4E"/>
    <w:rsid w:val="00D90843"/>
    <w:rsid w:val="00DA5FF8"/>
    <w:rsid w:val="00DA7D7A"/>
    <w:rsid w:val="00DB4177"/>
    <w:rsid w:val="00DB7BB8"/>
    <w:rsid w:val="00DC1112"/>
    <w:rsid w:val="00DC4000"/>
    <w:rsid w:val="00DC4F14"/>
    <w:rsid w:val="00DD1104"/>
    <w:rsid w:val="00DD2E1A"/>
    <w:rsid w:val="00DD4081"/>
    <w:rsid w:val="00DD50A7"/>
    <w:rsid w:val="00DE326C"/>
    <w:rsid w:val="00DE39FF"/>
    <w:rsid w:val="00DE4B99"/>
    <w:rsid w:val="00DF4126"/>
    <w:rsid w:val="00DF4693"/>
    <w:rsid w:val="00DF51DB"/>
    <w:rsid w:val="00E01678"/>
    <w:rsid w:val="00E0272F"/>
    <w:rsid w:val="00E0624B"/>
    <w:rsid w:val="00E27AF7"/>
    <w:rsid w:val="00E3088A"/>
    <w:rsid w:val="00E30D2E"/>
    <w:rsid w:val="00E33343"/>
    <w:rsid w:val="00E34822"/>
    <w:rsid w:val="00E42427"/>
    <w:rsid w:val="00E47137"/>
    <w:rsid w:val="00E555F1"/>
    <w:rsid w:val="00E6033F"/>
    <w:rsid w:val="00E61360"/>
    <w:rsid w:val="00E70677"/>
    <w:rsid w:val="00E70BC7"/>
    <w:rsid w:val="00E70CC5"/>
    <w:rsid w:val="00E71AA0"/>
    <w:rsid w:val="00E76169"/>
    <w:rsid w:val="00E81344"/>
    <w:rsid w:val="00E841EA"/>
    <w:rsid w:val="00E954FF"/>
    <w:rsid w:val="00EA2BE7"/>
    <w:rsid w:val="00EB1AAF"/>
    <w:rsid w:val="00ED5A48"/>
    <w:rsid w:val="00ED6EF6"/>
    <w:rsid w:val="00ED7A69"/>
    <w:rsid w:val="00EE1CC6"/>
    <w:rsid w:val="00EF01DC"/>
    <w:rsid w:val="00EF2CC1"/>
    <w:rsid w:val="00F00607"/>
    <w:rsid w:val="00F0310A"/>
    <w:rsid w:val="00F062B9"/>
    <w:rsid w:val="00F0747F"/>
    <w:rsid w:val="00F0780A"/>
    <w:rsid w:val="00F22FCA"/>
    <w:rsid w:val="00F2770A"/>
    <w:rsid w:val="00F32E93"/>
    <w:rsid w:val="00F3567C"/>
    <w:rsid w:val="00F379E6"/>
    <w:rsid w:val="00F45285"/>
    <w:rsid w:val="00F61407"/>
    <w:rsid w:val="00F61AFD"/>
    <w:rsid w:val="00F624FF"/>
    <w:rsid w:val="00F629C8"/>
    <w:rsid w:val="00F647A1"/>
    <w:rsid w:val="00F656CB"/>
    <w:rsid w:val="00F66E17"/>
    <w:rsid w:val="00F70863"/>
    <w:rsid w:val="00F7475B"/>
    <w:rsid w:val="00F77EBC"/>
    <w:rsid w:val="00F8399C"/>
    <w:rsid w:val="00F91A35"/>
    <w:rsid w:val="00F96AA8"/>
    <w:rsid w:val="00FA01A1"/>
    <w:rsid w:val="00FA2083"/>
    <w:rsid w:val="00FB130F"/>
    <w:rsid w:val="00FC04B8"/>
    <w:rsid w:val="00FD1057"/>
    <w:rsid w:val="00FD181A"/>
    <w:rsid w:val="00FD4A82"/>
    <w:rsid w:val="00FD5265"/>
    <w:rsid w:val="00FD5268"/>
    <w:rsid w:val="00FD781F"/>
    <w:rsid w:val="00FE07B2"/>
    <w:rsid w:val="00FE2715"/>
    <w:rsid w:val="00FF0C6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eaeaea"/>
    </o:shapedefaults>
    <o:shapelayout v:ext="edit">
      <o:idmap v:ext="edit" data="1"/>
      <o:rules v:ext="edit">
        <o:r id="V:Rule4" type="connector" idref="#_x0000_s1034"/>
        <o:r id="V:Rule5" type="connector" idref="#_x0000_s103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A35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203871"/>
    <w:pPr>
      <w:keepNext/>
      <w:jc w:val="center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qFormat/>
    <w:rsid w:val="0020387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03871"/>
    <w:pPr>
      <w:keepNext/>
      <w:ind w:left="-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03871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203871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0387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03871"/>
    <w:pPr>
      <w:keepNext/>
      <w:tabs>
        <w:tab w:val="num" w:pos="900"/>
      </w:tabs>
      <w:ind w:left="540" w:right="-1067" w:firstLine="342"/>
      <w:outlineLvl w:val="6"/>
    </w:pPr>
    <w:rPr>
      <w:rFonts w:ascii="Tahoma" w:hAnsi="Tahoma"/>
      <w:i/>
      <w:lang w:val="en-US"/>
    </w:rPr>
  </w:style>
  <w:style w:type="paragraph" w:styleId="Heading8">
    <w:name w:val="heading 8"/>
    <w:basedOn w:val="Normal"/>
    <w:next w:val="Normal"/>
    <w:qFormat/>
    <w:rsid w:val="00203871"/>
    <w:pPr>
      <w:keepNext/>
      <w:outlineLvl w:val="7"/>
    </w:pPr>
    <w:rPr>
      <w:i/>
      <w:color w:val="000000"/>
    </w:rPr>
  </w:style>
  <w:style w:type="paragraph" w:styleId="Heading9">
    <w:name w:val="heading 9"/>
    <w:basedOn w:val="Normal"/>
    <w:next w:val="Normal"/>
    <w:qFormat/>
    <w:rsid w:val="00203871"/>
    <w:pPr>
      <w:keepNext/>
      <w:tabs>
        <w:tab w:val="left" w:pos="360"/>
      </w:tabs>
      <w:ind w:left="432" w:right="432" w:hanging="180"/>
      <w:jc w:val="both"/>
      <w:outlineLvl w:val="8"/>
    </w:pPr>
    <w:rPr>
      <w:rFonts w:ascii="Bookman Old Style" w:hAnsi="Bookman Old Style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3871"/>
    <w:rPr>
      <w:color w:val="0000FF"/>
      <w:u w:val="single"/>
    </w:rPr>
  </w:style>
  <w:style w:type="paragraph" w:styleId="BodyText">
    <w:name w:val="Body Text"/>
    <w:basedOn w:val="Normal"/>
    <w:rsid w:val="00203871"/>
    <w:rPr>
      <w:sz w:val="24"/>
    </w:rPr>
  </w:style>
  <w:style w:type="paragraph" w:styleId="Header">
    <w:name w:val="header"/>
    <w:basedOn w:val="Normal"/>
    <w:rsid w:val="002038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3871"/>
    <w:pPr>
      <w:tabs>
        <w:tab w:val="center" w:pos="4153"/>
        <w:tab w:val="right" w:pos="8306"/>
      </w:tabs>
    </w:pPr>
    <w:rPr>
      <w:lang/>
    </w:rPr>
  </w:style>
  <w:style w:type="paragraph" w:styleId="BlockText">
    <w:name w:val="Block Text"/>
    <w:basedOn w:val="Normal"/>
    <w:rsid w:val="00203871"/>
    <w:pPr>
      <w:ind w:left="270" w:right="225"/>
      <w:jc w:val="both"/>
    </w:pPr>
    <w:rPr>
      <w:rFonts w:ascii="Tahoma" w:hAnsi="Tahoma"/>
      <w:i/>
    </w:rPr>
  </w:style>
  <w:style w:type="paragraph" w:styleId="BodyText2">
    <w:name w:val="Body Text 2"/>
    <w:basedOn w:val="Normal"/>
    <w:rsid w:val="00203871"/>
    <w:pPr>
      <w:jc w:val="both"/>
    </w:pPr>
    <w:rPr>
      <w:rFonts w:ascii="Univers" w:hAnsi="Univers"/>
    </w:rPr>
  </w:style>
  <w:style w:type="paragraph" w:styleId="BodyText3">
    <w:name w:val="Body Text 3"/>
    <w:basedOn w:val="Normal"/>
    <w:rsid w:val="00203871"/>
    <w:pPr>
      <w:jc w:val="both"/>
    </w:pPr>
    <w:rPr>
      <w:b/>
      <w:color w:val="000000"/>
      <w:sz w:val="20"/>
    </w:rPr>
  </w:style>
  <w:style w:type="paragraph" w:styleId="BodyTextIndent">
    <w:name w:val="Body Text Indent"/>
    <w:basedOn w:val="Normal"/>
    <w:rsid w:val="00203871"/>
    <w:pPr>
      <w:ind w:left="702" w:hanging="360"/>
    </w:pPr>
    <w:rPr>
      <w:b/>
      <w:i/>
      <w:color w:val="000000"/>
    </w:rPr>
  </w:style>
  <w:style w:type="paragraph" w:styleId="BodyTextIndent2">
    <w:name w:val="Body Text Indent 2"/>
    <w:basedOn w:val="Normal"/>
    <w:rsid w:val="00292CBC"/>
    <w:pPr>
      <w:spacing w:after="120" w:line="480" w:lineRule="auto"/>
      <w:ind w:left="360"/>
    </w:pPr>
  </w:style>
  <w:style w:type="paragraph" w:styleId="Subtitle">
    <w:name w:val="Subtitle"/>
    <w:basedOn w:val="Normal"/>
    <w:qFormat/>
    <w:rsid w:val="003930BC"/>
    <w:rPr>
      <w:b/>
      <w:lang w:val="en-US"/>
    </w:rPr>
  </w:style>
  <w:style w:type="paragraph" w:styleId="BalloonText">
    <w:name w:val="Balloon Text"/>
    <w:basedOn w:val="Normal"/>
    <w:semiHidden/>
    <w:rsid w:val="00365E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C4AE0"/>
    <w:rPr>
      <w:rFonts w:ascii="Arial" w:hAnsi="Arial"/>
      <w:sz w:val="22"/>
      <w:lang w:val="en-GB"/>
    </w:rPr>
  </w:style>
  <w:style w:type="paragraph" w:customStyle="1" w:styleId="a">
    <w:basedOn w:val="Normal"/>
    <w:rsid w:val="00960FF4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F0B"/>
    <w:pPr>
      <w:spacing w:after="200" w:line="276" w:lineRule="auto"/>
      <w:ind w:left="720"/>
      <w:contextualSpacing/>
    </w:pPr>
    <w:rPr>
      <w:rFonts w:ascii="Calibri" w:eastAsia="SimSun" w:hAnsi="Calibri"/>
      <w:szCs w:val="22"/>
      <w:lang w:val="en-US" w:eastAsia="zh-CN"/>
    </w:rPr>
  </w:style>
  <w:style w:type="paragraph" w:customStyle="1" w:styleId="Char10">
    <w:name w:val="Char10"/>
    <w:basedOn w:val="Normal"/>
    <w:rsid w:val="00C42E06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3F6F4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6F40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Growth by M&amp;A activities is the most popular route for leading companies to pursue to maximize its growth potential with big results fast. This course highlights the essential and hands-on thought process vital for successful M&amp;A activities.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9E88B1-19FF-4C39-A4AA-155F0C11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Bursatra</Company>
  <LinksUpToDate>false</LinksUpToDate>
  <CharactersWithSpaces>3662</CharactersWithSpaces>
  <SharedDoc>false</SharedDoc>
  <HLinks>
    <vt:vector size="6" baseType="variant"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mailto:mailmarshal@bursatra.com.my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Optimizing The Board’s Perspective On Organizational Strategy For Effective Mergers &amp; Acquisitions Activities</dc:title>
  <dc:subject>05 August 2015 / 05 October 2015</dc:subject>
  <dc:creator>Azlan</dc:creator>
  <cp:keywords/>
  <cp:lastModifiedBy>Azlan</cp:lastModifiedBy>
  <cp:revision>4</cp:revision>
  <cp:lastPrinted>2015-06-30T10:23:00Z</cp:lastPrinted>
  <dcterms:created xsi:type="dcterms:W3CDTF">2015-06-30T14:24:00Z</dcterms:created>
  <dcterms:modified xsi:type="dcterms:W3CDTF">2015-10-21T16:49:00Z</dcterms:modified>
</cp:coreProperties>
</file>